
<file path=[Content_Types].xml><?xml version="1.0" encoding="utf-8"?>
<Types xmlns="http://schemas.openxmlformats.org/package/2006/content-types">
  <Default Extension="xlsx" ContentType="application/vnd.openxmlformats-officedocument.spreadsheetml.sheet"/>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charts/chart1.xml" ContentType="application/vnd.openxmlformats-officedocument.drawingml.chart+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Project Management Plan Report by Global Poverty Action Fund</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Student’s Name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Institution</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Course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Professor’s Name </w:t>
      </w:r>
      <w:r>
        <w:rPr>
          <w:rFonts w:ascii="Times New Roman" w:cs="Times New Roman" w:hAnsi="Times New Roman"/>
          <w:color w:val="222222"/>
          <w:sz w:val="24"/>
          <w:szCs w:val="24"/>
          <w:shd w:val="clear" w:color="auto" w:fill="ffffff"/>
        </w:rPr>
        <w:br/>
      </w:r>
      <w:r>
        <w:rPr>
          <w:rFonts w:ascii="Times New Roman" w:cs="Times New Roman" w:hAnsi="Times New Roman"/>
          <w:color w:val="222222"/>
          <w:sz w:val="24"/>
          <w:szCs w:val="24"/>
          <w:shd w:val="clear" w:color="auto" w:fill="ffffff"/>
        </w:rPr>
        <w:t>Date</w:t>
      </w:r>
    </w:p>
    <w:p>
      <w:pPr>
        <w:pStyle w:val="style0"/>
        <w:spacing w:after="0" w:lineRule="auto" w:line="480"/>
        <w:jc w:val="center"/>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Project Management Plan Report by Global Poverty Action Fund</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Resources</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This project was community based development program aimed at improving the knowledge and awareness of more than 45,000 vulnerable women and children resulting in their appropriate health and nutrition practices. As such, several resources were required including the financial resources, adequate time, and human resources. Each of these resources played a significant role in ensuring that the project completion was a success. For example, human resources played a significant role in creating about 10 community sensitization and empowerment groups. This approach was expected to bring long lasting behavioral changes in the targeted community. Also, the human resources also helped in advocacy program which was done at the state levels to enable the project plan reach the underserved urban population in the slums of Kolkata Municipality. Furthermore, using the financial resources, the project team managed to build capacities of 114 SHGs, 351 CBOs, and some local clubs to support the target groups. As explained in the project management plan completion report, these groups are now playing a critical role in facilitating the behavior change drive in the target community (GPAF, 2016). </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Timelines and targets</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project commenced in December 212 and ended in March 2016. The target groups in this project included women and children in need in the urban slums of Kolkata and North </w:t>
      </w:r>
      <w:r>
        <w:rPr>
          <w:rFonts w:ascii="Times New Roman" w:cs="Times New Roman" w:hAnsi="Times New Roman"/>
          <w:color w:val="222222"/>
          <w:sz w:val="24"/>
          <w:szCs w:val="24"/>
          <w:shd w:val="clear" w:color="auto" w:fill="ffffff"/>
        </w:rPr>
        <w:t>Dinajpur</w:t>
      </w:r>
      <w:r>
        <w:rPr>
          <w:rFonts w:ascii="Times New Roman" w:cs="Times New Roman" w:hAnsi="Times New Roman"/>
          <w:color w:val="222222"/>
          <w:sz w:val="24"/>
          <w:szCs w:val="24"/>
          <w:shd w:val="clear" w:color="auto" w:fill="ffffff"/>
        </w:rPr>
        <w:t xml:space="preserve"> in West Bengal, India. </w:t>
      </w:r>
      <w:r>
        <w:rPr>
          <w:rFonts w:ascii="Times New Roman" w:cs="Times New Roman" w:hAnsi="Times New Roman"/>
          <w:color w:val="222222"/>
          <w:sz w:val="24"/>
          <w:szCs w:val="24"/>
          <w:shd w:val="clear" w:color="auto" w:fill="ffffff"/>
        </w:rPr>
        <w:t xml:space="preserve">A total of 45,509 people were targeted in the project, which involved residents of the two places mentioned previously. This population included vulnerable women and children from the two slums in India. </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Notable changes</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Some of the notable changes in the report included: First, there was an increase in the percentage of women who attended the ANC during their pregnancy as well as those who referred to JSY benefits. The report showed that about 98.4% of urban women and 82% of rural women attended ANC during pregnancy at least 3 times. This was an increase from 69% for urban women and 55% for women in the rural areas. The change agent, as noted in this project report, was increased awareness programs and initiatives undertaken</w:t>
      </w:r>
      <w:r>
        <w:rPr>
          <w:rFonts w:ascii="Times New Roman" w:cs="Times New Roman" w:hAnsi="Times New Roman"/>
          <w:color w:val="222222"/>
          <w:sz w:val="24"/>
          <w:szCs w:val="24"/>
          <w:shd w:val="clear" w:color="auto" w:fill="ffffff"/>
        </w:rPr>
        <w:t xml:space="preserve"> by the stakeholders.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Another significant change in the project included increased capacity of primary stakeholders and service providers. The key indicator for this change was that the number of government health professionals trained in the DFID program increased. Furthermore, there was increased access to essential including ante and post natal care services for mothers.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As the figure below shows, the number of malnourished children between 0 and 2 years reduced. </w:t>
      </w:r>
    </w:p>
    <w:p>
      <w:pPr>
        <w:pStyle w:val="style0"/>
        <w:spacing w:after="0" w:lineRule="auto" w:line="480"/>
        <w:rPr>
          <w:rFonts w:ascii="Times New Roman" w:cs="Times New Roman" w:hAnsi="Times New Roman"/>
          <w:color w:val="222222"/>
          <w:sz w:val="24"/>
          <w:szCs w:val="24"/>
          <w:shd w:val="clear" w:color="auto" w:fill="ffffff"/>
        </w:rPr>
      </w:pPr>
      <w:r>
        <w:rPr>
          <w:rFonts w:ascii="Times New Roman" w:cs="Times New Roman" w:hAnsi="Times New Roman"/>
          <w:noProof/>
          <w:color w:val="222222"/>
          <w:sz w:val="24"/>
          <w:szCs w:val="24"/>
          <w:shd w:val="clear" w:color="auto" w:fill="ffffff"/>
        </w:rPr>
      </w:r>
      <w:r>
        <w:rPr>
          <w:rFonts w:ascii="Times New Roman" w:cs="Times New Roman" w:hAnsi="Times New Roman"/>
          <w:noProof/>
          <w:color w:val="222222"/>
          <w:sz w:val="24"/>
          <w:szCs w:val="24"/>
          <w:shd w:val="clear" w:color="auto" w:fill="ffffff"/>
        </w:rPr>
      </w:r>
      <w:r>
        <w:rPr>
          <w:rFonts w:ascii="Times New Roman" w:cs="Times New Roman" w:hAnsi="Times New Roman"/>
          <w:noProof/>
          <w:color w:val="222222"/>
          <w:sz w:val="24"/>
          <w:szCs w:val="24"/>
          <w:shd w:val="clear" w:color="auto" w:fill="ffffff"/>
        </w:rPr>
      </w:r>
      <w:r>
        <w:rPr>
          <w:rFonts w:ascii="Times New Roman" w:cs="Times New Roman" w:hAnsi="Times New Roman"/>
          <w:noProof/>
          <w:color w:val="222222"/>
          <w:sz w:val="24"/>
          <w:szCs w:val="24"/>
          <w:shd w:val="clear" w:color="auto" w:fill="ffffff"/>
        </w:rPr>
        <w:drawing>
          <wp:inline distL="114300" distT="0" distB="0" distR="114300">
            <wp:extent cx="5486400" cy="3200400"/>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r>
        <w:rPr>
          <w:rFonts w:ascii="Times New Roman" w:cs="Times New Roman" w:hAnsi="Times New Roman"/>
          <w:noProof/>
          <w:color w:val="222222"/>
          <w:sz w:val="24"/>
          <w:szCs w:val="24"/>
          <w:shd w:val="clear" w:color="auto" w:fill="ffffff"/>
        </w:rPr>
      </w:r>
    </w:p>
    <w:p>
      <w:pPr>
        <w:pStyle w:val="style0"/>
        <w:spacing w:after="0" w:lineRule="auto" w:line="480"/>
        <w:rPr>
          <w:rFonts w:ascii="Times New Roman" w:cs="Times New Roman" w:hAnsi="Times New Roman"/>
          <w:i/>
          <w:color w:val="222222"/>
          <w:sz w:val="24"/>
          <w:szCs w:val="24"/>
          <w:shd w:val="clear" w:color="auto" w:fill="ffffff"/>
        </w:rPr>
      </w:pPr>
      <w:r>
        <w:rPr>
          <w:rFonts w:ascii="Times New Roman" w:cs="Times New Roman" w:hAnsi="Times New Roman"/>
          <w:i/>
          <w:color w:val="222222"/>
          <w:sz w:val="24"/>
          <w:szCs w:val="24"/>
          <w:shd w:val="clear" w:color="auto" w:fill="ffffff"/>
        </w:rPr>
        <w:t xml:space="preserve">Figure 1: Number of moderately and severely malnourished children 0-2 years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As the above figures shows, the number of moderately and severely malnourished children between 0 and 2 years significantly reduced during the project period due to increased access to NREP supplementary feeding programs. </w:t>
      </w:r>
    </w:p>
    <w:p>
      <w:pPr>
        <w:pStyle w:val="style94"/>
        <w:spacing w:before="0" w:beforeAutospacing="false" w:after="0" w:afterAutospacing="false" w:lineRule="auto" w:line="480"/>
        <w:ind w:firstLine="720"/>
        <w:rPr>
          <w:color w:val="0e101a"/>
        </w:rPr>
      </w:pPr>
      <w:r>
        <w:rPr>
          <w:color w:val="0e101a"/>
        </w:rPr>
        <w:t>Also, there was increased awareness, involvement, and coordination of the key stakeholders in the programs undertaken in this project, including ante and postnatal care services and integrated child development services. Based on the beneficiaries' feedback, some notable changes were recorded, including a change in the quality of sanitary napkins as part of the postnatal care kits. Regular weighing of children was improved due to the availability of a weighing scale, which was not available before. Other services also improved, such as drinking water and sanitation facilities, especially in Ward 56 and 59 of Kolkata. This change was achieved due to the intervention of local clubs by leveraging resources from the local government organizations. </w:t>
      </w:r>
    </w:p>
    <w:p>
      <w:pPr>
        <w:pStyle w:val="style94"/>
        <w:spacing w:before="0" w:beforeAutospacing="false" w:after="0" w:afterAutospacing="false" w:lineRule="auto" w:line="480"/>
        <w:ind w:firstLine="720"/>
        <w:rPr>
          <w:color w:val="0e101a"/>
        </w:rPr>
      </w:pPr>
      <w:r>
        <w:rPr>
          <w:color w:val="0e101a"/>
        </w:rPr>
        <w:t>However, there were no changes regarding the project design, partners, context, or the availability of the match-funding. All these aspects remained as they were included in the project plan. </w:t>
      </w:r>
    </w:p>
    <w:p>
      <w:pPr>
        <w:pStyle w:val="style94"/>
        <w:spacing w:before="0" w:beforeAutospacing="false" w:after="0" w:afterAutospacing="false" w:lineRule="auto" w:line="480"/>
        <w:jc w:val="center"/>
        <w:rPr>
          <w:b/>
          <w:color w:val="0e101a"/>
        </w:rPr>
      </w:pPr>
      <w:r>
        <w:rPr>
          <w:b/>
          <w:color w:val="0e101a"/>
        </w:rPr>
        <w:t>Funding &amp; budgets</w:t>
      </w:r>
    </w:p>
    <w:p>
      <w:pPr>
        <w:pStyle w:val="style94"/>
        <w:spacing w:before="0" w:beforeAutospacing="false" w:after="0" w:afterAutospacing="false" w:lineRule="auto" w:line="480"/>
        <w:ind w:firstLine="720"/>
        <w:rPr>
          <w:color w:val="0e101a"/>
        </w:rPr>
      </w:pPr>
      <w:r>
        <w:rPr>
          <w:color w:val="0e101a"/>
        </w:rPr>
        <w:t>The total budget for the project was £ 668,569. The total funding for the project from DFID was £ 522,429. The deficit was sourced from other sources such as CINI, which contributed about £92,547; Child Hope contributed £13,494; local government and clubs contributed £43,688. A total of £149,729 was sourced from these other sources to fill the gap or deficit that was available. </w:t>
      </w:r>
    </w:p>
    <w:p>
      <w:pPr>
        <w:pStyle w:val="style94"/>
        <w:spacing w:before="0" w:beforeAutospacing="false" w:after="0" w:afterAutospacing="false" w:lineRule="auto" w:line="480"/>
        <w:ind w:firstLine="720"/>
        <w:rPr>
          <w:color w:val="0e101a"/>
        </w:rPr>
      </w:pPr>
      <w:r>
        <w:rPr>
          <w:color w:val="0e101a"/>
        </w:rPr>
        <w:t xml:space="preserve">The project team responded to the due diligence by taking the necessary action to utilize the grant arrangement made in the plan. For example, Child Hope, one of the stakeholders </w:t>
      </w:r>
      <w:r>
        <w:rPr>
          <w:color w:val="0e101a"/>
        </w:rPr>
        <w:t>engaged in close monitoring, especially in the allocation of duties to ensure that the project team had sufficient resources to manage the project effectively. As the report shows, this effectiveness has been realized through various activities, including training programs, project visits, and phone/</w:t>
      </w:r>
      <w:r>
        <w:rPr>
          <w:color w:val="0e101a"/>
        </w:rPr>
        <w:t>skype</w:t>
      </w:r>
      <w:r>
        <w:rPr>
          <w:color w:val="0e101a"/>
        </w:rPr>
        <w:t xml:space="preserve"> calls. All these activities required facilitation and financial resources. The project mentioned that the funds allocated to the project by the lead organization, DFID Company was not enough to handle all the required activities and operations. A deficit of 25% was needed and outsourced from other sources mentioned in the previous paragraph. </w:t>
      </w:r>
    </w:p>
    <w:p>
      <w:pPr>
        <w:pStyle w:val="style94"/>
        <w:spacing w:before="0" w:beforeAutospacing="false" w:after="0" w:afterAutospacing="false" w:lineRule="auto" w:line="480"/>
        <w:jc w:val="center"/>
        <w:rPr>
          <w:b/>
          <w:color w:val="0e101a"/>
        </w:rPr>
      </w:pPr>
      <w:r>
        <w:rPr>
          <w:b/>
          <w:color w:val="0e101a"/>
        </w:rPr>
        <w:t>Activity</w:t>
      </w:r>
    </w:p>
    <w:p>
      <w:pPr>
        <w:pStyle w:val="style94"/>
        <w:spacing w:before="0" w:beforeAutospacing="false" w:after="0" w:afterAutospacing="false" w:lineRule="auto" w:line="480"/>
        <w:rPr>
          <w:color w:val="0e101a"/>
        </w:rPr>
      </w:pPr>
      <w:r>
        <w:rPr>
          <w:color w:val="0e101a"/>
        </w:rPr>
        <w:t>The project involved many activities, including:</w:t>
      </w:r>
    </w:p>
    <w:p>
      <w:pPr>
        <w:pStyle w:val="style94"/>
        <w:spacing w:before="0" w:beforeAutospacing="false" w:after="0" w:afterAutospacing="false" w:lineRule="auto" w:line="480"/>
        <w:ind w:firstLine="720"/>
        <w:rPr>
          <w:color w:val="0e101a"/>
        </w:rPr>
      </w:pPr>
      <w:r>
        <w:rPr>
          <w:rStyle w:val="style87"/>
          <w:color w:val="0e101a"/>
        </w:rPr>
        <w:t>Promoting Equity and Gender:</w:t>
      </w:r>
      <w:r>
        <w:rPr>
          <w:color w:val="0e101a"/>
        </w:rPr>
        <w:t> The project identified equity and gender differential in the target locations. As noted in women's lack of decision-making power on many issues, ranging from the decision to have a child to a place to deliver, this project sought to determine the elements of gender differentials. This involved undertaking a study to help understand the phenomenon better. The study recommended that the female gender needs to be seen as individual in their own right. </w:t>
      </w:r>
    </w:p>
    <w:p>
      <w:pPr>
        <w:pStyle w:val="style94"/>
        <w:spacing w:before="0" w:beforeAutospacing="false" w:after="0" w:afterAutospacing="false" w:lineRule="auto" w:line="480"/>
        <w:ind w:firstLine="720"/>
        <w:rPr>
          <w:color w:val="0e101a"/>
        </w:rPr>
      </w:pPr>
      <w:r>
        <w:rPr>
          <w:rStyle w:val="style87"/>
          <w:color w:val="0e101a"/>
        </w:rPr>
        <w:t>Capacity Building: </w:t>
      </w:r>
      <w:r>
        <w:rPr>
          <w:color w:val="0e101a"/>
        </w:rPr>
        <w:t>The project further engaged in capacity building by training its staff and change agents on project indicators at the beginning of the program. There were also regular monthly reflection and review sessions of the project team to ensure that the information collected was accurately and appropriately used, improvised, and adjusted as the need may arise. </w:t>
      </w:r>
    </w:p>
    <w:p>
      <w:pPr>
        <w:pStyle w:val="style94"/>
        <w:spacing w:before="0" w:beforeAutospacing="false" w:after="0" w:afterAutospacing="false" w:lineRule="auto" w:line="480"/>
        <w:ind w:firstLine="720"/>
        <w:rPr>
          <w:color w:val="0e101a"/>
        </w:rPr>
      </w:pPr>
      <w:r>
        <w:rPr>
          <w:rStyle w:val="style87"/>
          <w:color w:val="0e101a"/>
        </w:rPr>
        <w:t>Empowerment and Accountability: </w:t>
      </w:r>
      <w:r>
        <w:rPr>
          <w:color w:val="0e101a"/>
        </w:rPr>
        <w:t xml:space="preserve">The project engaged in empowerment programs, including helping them gain maternal and child health nutrition entitlements. It also created empowerment projects such as immunization and sanitation. Apart from empowerment, this project further established a mechanism to create accountability. As mentioned in the report, the </w:t>
      </w:r>
      <w:r>
        <w:rPr>
          <w:color w:val="0e101a"/>
        </w:rPr>
        <w:t>purpose of the beneficiary feedback mechanism was to create an accessible feedback mechanism to enable the community to raise their voices about the government services and ensure that these services reach them. To ensure that a sense of accountability was created, the project established a feedback mechanism, including creating feedback avenues at the different departments to allow the communities to express their voices. </w:t>
      </w:r>
    </w:p>
    <w:p>
      <w:pPr>
        <w:pStyle w:val="style94"/>
        <w:spacing w:before="0" w:beforeAutospacing="false" w:after="0" w:afterAutospacing="false" w:lineRule="auto" w:line="480"/>
        <w:jc w:val="center"/>
        <w:rPr>
          <w:b/>
          <w:color w:val="0e101a"/>
        </w:rPr>
      </w:pPr>
      <w:r>
        <w:rPr>
          <w:b/>
          <w:color w:val="0e101a"/>
        </w:rPr>
        <w:t>Network</w:t>
      </w:r>
    </w:p>
    <w:p>
      <w:pPr>
        <w:pStyle w:val="style94"/>
        <w:spacing w:before="0" w:beforeAutospacing="false" w:after="0" w:afterAutospacing="false" w:lineRule="auto" w:line="480"/>
        <w:ind w:firstLine="720"/>
        <w:rPr>
          <w:color w:val="0e101a"/>
        </w:rPr>
      </w:pPr>
      <w:r>
        <w:rPr>
          <w:color w:val="0e101a"/>
        </w:rPr>
        <w:t>The project involved collecting feedback from the beneficiaries to get information on the services and service delivery issues in the slum areas targeted. This required coordination and networking because it required looking at the beneficiaries' involvement in the service, such as ANC and PNC check-up, PNC kit availability, JSY benefits, and ICDS services, among others. Collecting this information could not have been possible without proper networking and coordination. The project team collected this information on CA's engagement with the community and coordination with the service provider organizations and personnel. Furthermore, a feedback mechanism was created which involved connecting the beneficiaries with the real services being received. The feedback collected was combined and analyzed as well as evaluated at the end of every survey year. The results were shared with the stakeholders in the project and the community members in a convergent meeting at the Ward/Gram level and state level. At the ward level, the project team engaged in a convergent meeting with the community members to discuss and share information from the project surveys. At the state level, the project team involved the government officials and service providers in coming up with an action plan aimed at improving service delivery in the slum areas. </w:t>
      </w:r>
    </w:p>
    <w:p>
      <w:pPr>
        <w:pStyle w:val="style94"/>
        <w:spacing w:before="0" w:beforeAutospacing="false" w:after="0" w:afterAutospacing="false" w:lineRule="auto" w:line="480"/>
        <w:jc w:val="center"/>
        <w:rPr>
          <w:b/>
          <w:color w:val="0e101a"/>
        </w:rPr>
      </w:pPr>
      <w:r>
        <w:rPr>
          <w:b/>
          <w:color w:val="0e101a"/>
        </w:rPr>
        <w:t>Project plans</w:t>
      </w:r>
    </w:p>
    <w:p>
      <w:pPr>
        <w:pStyle w:val="style94"/>
        <w:spacing w:before="0" w:beforeAutospacing="false" w:after="0" w:afterAutospacing="false" w:lineRule="auto" w:line="480"/>
        <w:ind w:firstLine="720"/>
        <w:rPr>
          <w:color w:val="0e101a"/>
        </w:rPr>
      </w:pPr>
      <w:r>
        <w:rPr>
          <w:color w:val="0e101a"/>
        </w:rPr>
        <w:t xml:space="preserve">The project plan identified the key objectives as increasing awareness and knowledge of more than 45,000 vulnerable urban women and children in the slum areas of Kolkata and </w:t>
      </w:r>
      <w:r>
        <w:rPr>
          <w:color w:val="0e101a"/>
        </w:rPr>
        <w:t>Dinajpur</w:t>
      </w:r>
      <w:r>
        <w:rPr>
          <w:color w:val="0e101a"/>
        </w:rPr>
        <w:t xml:space="preserve"> districts in India. The project was to intervene in the first 100 days to try to improve the coverage of ANC, PNC, institutional delivery, and other social amenities and services through community events such as </w:t>
      </w:r>
      <w:r>
        <w:rPr>
          <w:color w:val="0e101a"/>
        </w:rPr>
        <w:t>annaprashan</w:t>
      </w:r>
      <w:r>
        <w:rPr>
          <w:color w:val="0e101a"/>
        </w:rPr>
        <w:t xml:space="preserve"> and </w:t>
      </w:r>
      <w:r>
        <w:rPr>
          <w:color w:val="0e101a"/>
        </w:rPr>
        <w:t>swad</w:t>
      </w:r>
      <w:r>
        <w:rPr>
          <w:color w:val="0e101a"/>
        </w:rPr>
        <w:t xml:space="preserve"> </w:t>
      </w:r>
      <w:r>
        <w:rPr>
          <w:color w:val="0e101a"/>
        </w:rPr>
        <w:t>bhakhan</w:t>
      </w:r>
      <w:r>
        <w:rPr>
          <w:color w:val="0e101a"/>
        </w:rPr>
        <w:t>. At the end of the year, the project team was to develop a survey and carry out a final evaluation by the end of the project period on different social service indicators like maternal health services and delivery. The dates for the final reporting period were March 2016. The final report was to include the key changes and achievements realized during the project implementation period and highlight the challenges experienced during this particular time. </w:t>
      </w:r>
    </w:p>
    <w:p>
      <w:pPr>
        <w:pStyle w:val="style94"/>
        <w:spacing w:before="0" w:beforeAutospacing="false" w:after="0" w:afterAutospacing="false" w:lineRule="auto" w:line="480"/>
        <w:jc w:val="center"/>
        <w:rPr>
          <w:b/>
          <w:color w:val="0e101a"/>
        </w:rPr>
      </w:pPr>
      <w:r>
        <w:rPr>
          <w:b/>
          <w:color w:val="0e101a"/>
        </w:rPr>
        <w:t>Project Scope</w:t>
      </w:r>
    </w:p>
    <w:p>
      <w:pPr>
        <w:pStyle w:val="style94"/>
        <w:spacing w:before="0" w:beforeAutospacing="false" w:after="0" w:afterAutospacing="false" w:lineRule="auto" w:line="480"/>
        <w:rPr>
          <w:b/>
          <w:color w:val="0e101a"/>
        </w:rPr>
      </w:pPr>
      <w:r>
        <w:rPr>
          <w:b/>
          <w:color w:val="0e101a"/>
        </w:rPr>
        <w:t>Requirements</w:t>
      </w:r>
    </w:p>
    <w:p>
      <w:pPr>
        <w:pStyle w:val="style94"/>
        <w:spacing w:before="0" w:beforeAutospacing="false" w:after="0" w:afterAutospacing="false" w:lineRule="auto" w:line="480"/>
        <w:rPr>
          <w:color w:val="0e101a"/>
        </w:rPr>
      </w:pPr>
      <w:r>
        <w:rPr>
          <w:color w:val="0e101a"/>
        </w:rPr>
        <w:t>-Identify and prioritize the primary healthcare services and delivery methods among the vulnerable population of women and children in the two Indian districts. Assess the quality of maternal healthcare services women in the slums are accessing. </w:t>
      </w:r>
    </w:p>
    <w:p>
      <w:pPr>
        <w:pStyle w:val="style94"/>
        <w:spacing w:before="0" w:beforeAutospacing="false" w:after="0" w:afterAutospacing="false" w:lineRule="auto" w:line="480"/>
        <w:rPr>
          <w:color w:val="0e101a"/>
        </w:rPr>
      </w:pPr>
      <w:r>
        <w:rPr>
          <w:color w:val="0e101a"/>
        </w:rPr>
        <w:t>-Create awareness and empowerment programs through partnerships and community involvement </w:t>
      </w:r>
    </w:p>
    <w:p>
      <w:pPr>
        <w:pStyle w:val="style94"/>
        <w:spacing w:before="0" w:beforeAutospacing="false" w:after="0" w:afterAutospacing="false" w:lineRule="auto" w:line="480"/>
        <w:rPr>
          <w:color w:val="0e101a"/>
        </w:rPr>
      </w:pPr>
      <w:r>
        <w:rPr>
          <w:color w:val="0e101a"/>
        </w:rPr>
        <w:t>-Agree on a list of programs and action plan that needs to be taken to improve access to maternal services and improve the welfare of the residents of the two slum areas where the project was held. </w:t>
      </w:r>
    </w:p>
    <w:p>
      <w:pPr>
        <w:pStyle w:val="style94"/>
        <w:spacing w:before="0" w:beforeAutospacing="false" w:after="0" w:afterAutospacing="false" w:lineRule="auto" w:line="480"/>
        <w:rPr>
          <w:b/>
          <w:color w:val="0e101a"/>
        </w:rPr>
      </w:pPr>
      <w:r>
        <w:rPr>
          <w:b/>
          <w:color w:val="0e101a"/>
        </w:rPr>
        <w:t>Implementation</w:t>
      </w:r>
    </w:p>
    <w:p>
      <w:pPr>
        <w:pStyle w:val="style94"/>
        <w:spacing w:before="0" w:beforeAutospacing="false" w:after="0" w:afterAutospacing="false" w:lineRule="auto" w:line="480"/>
        <w:rPr>
          <w:color w:val="0e101a"/>
        </w:rPr>
      </w:pPr>
      <w:r>
        <w:rPr>
          <w:color w:val="0e101a"/>
        </w:rPr>
        <w:t>-Identify and determine the training needs of the stakeholders and project implementation team</w:t>
      </w:r>
    </w:p>
    <w:p>
      <w:pPr>
        <w:pStyle w:val="style94"/>
        <w:spacing w:before="0" w:beforeAutospacing="false" w:after="0" w:afterAutospacing="false" w:lineRule="auto" w:line="480"/>
        <w:rPr>
          <w:color w:val="0e101a"/>
        </w:rPr>
      </w:pPr>
      <w:r>
        <w:rPr>
          <w:color w:val="0e101a"/>
        </w:rPr>
        <w:t>-Research the degree or extent of gender discrimination in the feeding practices and health interventions for children below 2 years</w:t>
      </w:r>
    </w:p>
    <w:p>
      <w:pPr>
        <w:pStyle w:val="style94"/>
        <w:spacing w:before="0" w:beforeAutospacing="false" w:after="0" w:afterAutospacing="false" w:lineRule="auto" w:line="480"/>
        <w:rPr>
          <w:color w:val="0e101a"/>
        </w:rPr>
      </w:pPr>
      <w:r>
        <w:rPr>
          <w:color w:val="0e101a"/>
        </w:rPr>
        <w:t>-Assess the service delivery in the slum areas</w:t>
      </w:r>
    </w:p>
    <w:p>
      <w:pPr>
        <w:pStyle w:val="style94"/>
        <w:spacing w:before="0" w:beforeAutospacing="false" w:after="0" w:afterAutospacing="false" w:lineRule="auto" w:line="480"/>
        <w:rPr>
          <w:color w:val="0e101a"/>
        </w:rPr>
      </w:pPr>
      <w:r>
        <w:rPr>
          <w:color w:val="0e101a"/>
        </w:rPr>
        <w:t>-Assess and describe the needed functionality and services</w:t>
      </w:r>
    </w:p>
    <w:p>
      <w:pPr>
        <w:pStyle w:val="style94"/>
        <w:spacing w:before="0" w:beforeAutospacing="false" w:after="0" w:afterAutospacing="false" w:lineRule="auto" w:line="480"/>
        <w:rPr>
          <w:color w:val="0e101a"/>
        </w:rPr>
      </w:pPr>
      <w:r>
        <w:rPr>
          <w:color w:val="0e101a"/>
        </w:rPr>
        <w:t>-Recommend the supplementary programs needed </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ind w:left="720" w:hanging="720"/>
        <w:jc w:val="center"/>
        <w:rPr>
          <w:rFonts w:ascii="Times New Roman" w:cs="Times New Roman" w:hAnsi="Times New Roman"/>
          <w:sz w:val="24"/>
          <w:szCs w:val="24"/>
        </w:rPr>
      </w:pPr>
      <w:r>
        <w:rPr>
          <w:rFonts w:ascii="Times New Roman" w:cs="Times New Roman" w:hAnsi="Times New Roman"/>
          <w:sz w:val="24"/>
          <w:szCs w:val="24"/>
        </w:rPr>
        <w:t>Reference</w:t>
      </w:r>
    </w:p>
    <w:p>
      <w:pPr>
        <w:pStyle w:val="style0"/>
        <w:spacing w:after="0" w:lineRule="auto" w:line="480"/>
        <w:ind w:left="720" w:hanging="720"/>
        <w:rPr>
          <w:rFonts w:ascii="Times New Roman" w:cs="Times New Roman" w:hAnsi="Times New Roman"/>
          <w:bCs/>
          <w:i/>
          <w:sz w:val="24"/>
          <w:szCs w:val="24"/>
        </w:rPr>
      </w:pPr>
      <w:r>
        <w:rPr>
          <w:rFonts w:ascii="Times New Roman" w:cs="Times New Roman" w:hAnsi="Times New Roman"/>
          <w:sz w:val="24"/>
          <w:szCs w:val="24"/>
        </w:rPr>
        <w:t>GPAF.</w:t>
      </w:r>
      <w:r>
        <w:rPr>
          <w:rFonts w:ascii="Times New Roman" w:cs="Times New Roman" w:hAnsi="Times New Roman"/>
          <w:sz w:val="24"/>
          <w:szCs w:val="24"/>
        </w:rPr>
        <w:t xml:space="preserve"> (2016). “</w:t>
      </w:r>
      <w:r>
        <w:rPr>
          <w:rFonts w:ascii="Times New Roman" w:cs="Times New Roman" w:hAnsi="Times New Roman"/>
          <w:bCs/>
          <w:sz w:val="24"/>
          <w:szCs w:val="24"/>
        </w:rPr>
        <w:t>Global Poverty Action Fund</w:t>
      </w:r>
      <w:r>
        <w:rPr>
          <w:rFonts w:ascii="Times New Roman" w:cs="Times New Roman" w:hAnsi="Times New Roman"/>
          <w:bCs/>
          <w:sz w:val="24"/>
          <w:szCs w:val="24"/>
        </w:rPr>
        <w:t>-</w:t>
      </w:r>
      <w:r>
        <w:rPr>
          <w:rFonts w:ascii="Times New Roman" w:cs="Times New Roman" w:hAnsi="Times New Roman"/>
          <w:bCs/>
          <w:sz w:val="24"/>
          <w:szCs w:val="24"/>
        </w:rPr>
        <w:t>Project Completion Report: Projects Ending By March 2016</w:t>
      </w:r>
      <w:r>
        <w:rPr>
          <w:rFonts w:ascii="Times New Roman" w:cs="Times New Roman" w:hAnsi="Times New Roman"/>
          <w:bCs/>
          <w:sz w:val="24"/>
          <w:szCs w:val="24"/>
        </w:rPr>
        <w:t xml:space="preserve">.” </w:t>
      </w:r>
      <w:r>
        <w:rPr>
          <w:rFonts w:ascii="Times New Roman" w:cs="Times New Roman" w:hAnsi="Times New Roman"/>
          <w:bCs/>
          <w:i/>
          <w:sz w:val="24"/>
          <w:szCs w:val="24"/>
        </w:rPr>
        <w:t>CSCF.</w:t>
      </w:r>
      <w:r>
        <w:rPr>
          <w:rFonts w:ascii="Times New Roman" w:cs="Times New Roman" w:hAnsi="Times New Roman"/>
          <w:bCs/>
          <w:i/>
          <w:sz w:val="24"/>
          <w:szCs w:val="24"/>
        </w:rPr>
        <w:t xml:space="preserve"> https://aidstream.org/files/documents/GPAF-(IMP-056)-Project-Completion-Report-31-May-ChildHop</w:t>
      </w:r>
      <w:bookmarkStart w:id="0" w:name="_GoBack"/>
      <w:bookmarkEnd w:id="0"/>
      <w:r>
        <w:rPr>
          <w:rFonts w:ascii="Times New Roman" w:cs="Times New Roman" w:hAnsi="Times New Roman"/>
          <w:bCs/>
          <w:i/>
          <w:sz w:val="24"/>
          <w:szCs w:val="24"/>
        </w:rPr>
        <w:t>e-UK-20170320060338.doc</w:t>
      </w:r>
    </w:p>
    <w:p>
      <w:pPr>
        <w:pStyle w:val="style0"/>
        <w:spacing w:after="0" w:lineRule="auto" w:line="480"/>
        <w:ind w:left="720" w:hanging="720"/>
        <w:rPr>
          <w:rFonts w:ascii="Times New Roman" w:cs="Times New Roman" w:hAnsi="Times New Roman"/>
          <w:sz w:val="24"/>
          <w:szCs w:val="24"/>
        </w:rPr>
      </w:pPr>
    </w:p>
    <w:sectPr>
      <w:head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d21873de-835c-46bc-b4d3-b42d887ffa1d"/>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eb7daee-6d50-4b29-b533-47923638e334"/>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hart" Target="charts/chart1.xml"/><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 Male in Borough VII</c:v>
                </c:pt>
              </c:strCache>
            </c:strRef>
          </c:tx>
          <c:invertIfNegative val="0"/>
          <c:cat>
            <c:strRef>
              <c:f>Sheet1!$A$2:$A$4</c:f>
              <c:strCache>
                <c:ptCount val="3"/>
                <c:pt idx="0">
                  <c:v>Normal</c:v>
                </c:pt>
                <c:pt idx="1">
                  <c:v>Moderate </c:v>
                </c:pt>
                <c:pt idx="2">
                  <c:v>Severe </c:v>
                </c:pt>
              </c:strCache>
            </c:strRef>
          </c:cat>
          <c:val>
            <c:numRef>
              <c:f>Sheet1!$B$2:$B$4</c:f>
              <c:numCache>
                <c:formatCode>General</c:formatCode>
                <c:ptCount val="3"/>
                <c:pt idx="0">
                  <c:v>73.6</c:v>
                </c:pt>
                <c:pt idx="1">
                  <c:v>21.4</c:v>
                </c:pt>
                <c:pt idx="2">
                  <c:v>5.0</c:v>
                </c:pt>
              </c:numCache>
            </c:numRef>
          </c:val>
        </c:ser>
        <c:ser>
          <c:idx val="1"/>
          <c:order val="1"/>
          <c:tx>
            <c:strRef>
              <c:f>Sheet1!$C$1</c:f>
              <c:strCache>
                <c:ptCount val="1"/>
                <c:pt idx="0">
                  <c:v>% Female In Borough VII</c:v>
                </c:pt>
              </c:strCache>
            </c:strRef>
          </c:tx>
          <c:invertIfNegative val="0"/>
          <c:cat>
            <c:strRef>
              <c:f>Sheet1!$A$2:$A$4</c:f>
              <c:strCache>
                <c:ptCount val="3"/>
                <c:pt idx="0">
                  <c:v>Normal</c:v>
                </c:pt>
                <c:pt idx="1">
                  <c:v>Moderate </c:v>
                </c:pt>
                <c:pt idx="2">
                  <c:v>Severe </c:v>
                </c:pt>
              </c:strCache>
            </c:strRef>
          </c:cat>
          <c:val>
            <c:numRef>
              <c:f>Sheet1!$C$2:$C$4</c:f>
              <c:numCache>
                <c:formatCode>General</c:formatCode>
                <c:ptCount val="3"/>
                <c:pt idx="0">
                  <c:v>88.7</c:v>
                </c:pt>
                <c:pt idx="1">
                  <c:v>9.7</c:v>
                </c:pt>
                <c:pt idx="2">
                  <c:v>1.6</c:v>
                </c:pt>
              </c:numCache>
            </c:numRef>
          </c:val>
        </c:ser>
        <c:ser>
          <c:idx val="2"/>
          <c:order val="2"/>
          <c:tx>
            <c:strRef>
              <c:f>Sheet1!$D$1</c:f>
              <c:strCache>
                <c:ptCount val="1"/>
                <c:pt idx="0">
                  <c:v>% Male in Goalpokhar </c:v>
                </c:pt>
              </c:strCache>
            </c:strRef>
          </c:tx>
          <c:invertIfNegative val="0"/>
          <c:cat>
            <c:strRef>
              <c:f>Sheet1!$A$2:$A$4</c:f>
              <c:strCache>
                <c:ptCount val="3"/>
                <c:pt idx="0">
                  <c:v>Normal</c:v>
                </c:pt>
                <c:pt idx="1">
                  <c:v>Moderate </c:v>
                </c:pt>
                <c:pt idx="2">
                  <c:v>Severe </c:v>
                </c:pt>
              </c:strCache>
            </c:strRef>
          </c:cat>
          <c:val>
            <c:numRef>
              <c:f>Sheet1!$D$2:$D$4</c:f>
              <c:numCache>
                <c:formatCode>General</c:formatCode>
                <c:ptCount val="3"/>
                <c:pt idx="0">
                  <c:v>57.0</c:v>
                </c:pt>
                <c:pt idx="1">
                  <c:v>32.2</c:v>
                </c:pt>
                <c:pt idx="2">
                  <c:v>10.8</c:v>
                </c:pt>
              </c:numCache>
            </c:numRef>
          </c:val>
        </c:ser>
        <c:ser>
          <c:idx val="3"/>
          <c:order val="3"/>
          <c:tx>
            <c:strRef>
              <c:f>Sheet1!$E$1</c:f>
              <c:strCache>
                <c:ptCount val="1"/>
                <c:pt idx="0">
                  <c:v>% Female in Goalpokhar</c:v>
                </c:pt>
              </c:strCache>
            </c:strRef>
          </c:tx>
          <c:invertIfNegative val="0"/>
          <c:cat>
            <c:strRef>
              <c:f>Sheet1!$A$2:$A$4</c:f>
              <c:strCache>
                <c:ptCount val="3"/>
                <c:pt idx="0">
                  <c:v>Normal</c:v>
                </c:pt>
                <c:pt idx="1">
                  <c:v>Moderate </c:v>
                </c:pt>
                <c:pt idx="2">
                  <c:v>Severe </c:v>
                </c:pt>
              </c:strCache>
            </c:strRef>
          </c:cat>
          <c:val>
            <c:numRef>
              <c:f>Sheet1!$E$2:$E$4</c:f>
              <c:numCache>
                <c:formatCode>General</c:formatCode>
                <c:ptCount val="3"/>
                <c:pt idx="0">
                  <c:v>77.7</c:v>
                </c:pt>
                <c:pt idx="1">
                  <c:v>17.1</c:v>
                </c:pt>
                <c:pt idx="2">
                  <c:v>5.2</c:v>
                </c:pt>
              </c:numCache>
            </c:numRef>
          </c:val>
        </c:ser>
        <c:dLbls>
          <c:showLegendKey val="0"/>
          <c:showVal val="0"/>
          <c:showCatName val="0"/>
          <c:showSerName val="0"/>
          <c:showPercent val="0"/>
          <c:showBubbleSize val="0"/>
        </c:dLbls>
        <c:gapWidth val="150"/>
        <c:axId val="214073728"/>
        <c:axId val="214075264"/>
      </c:barChart>
      <c:catAx>
        <c:axId val="214073728"/>
        <c:scaling>
          <c:orientation val="minMax"/>
        </c:scaling>
        <c:delete val="0"/>
        <c:axPos val="b"/>
        <c:majorTickMark val="out"/>
        <c:minorTickMark val="none"/>
        <c:tickLblPos val="nextTo"/>
        <c:crossAx val="214075264"/>
        <c:crosses val="autoZero"/>
        <c:auto val="1"/>
        <c:lblAlgn val="ctr"/>
        <c:lblOffset val="100"/>
        <c:noMultiLvlLbl val="0"/>
      </c:catAx>
      <c:valAx>
        <c:axId val="214075264"/>
        <c:scaling>
          <c:orientation val="minMax"/>
        </c:scaling>
        <c:delete val="0"/>
        <c:axPos val="l"/>
        <c:majorGridlines/>
        <c:numFmt formatCode="General" sourceLinked="1"/>
        <c:majorTickMark val="out"/>
        <c:minorTickMark val="none"/>
        <c:tickLblPos val="nextTo"/>
        <c:crossAx val="214073728"/>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0.7641</cdr:x>
      <cdr:y>0.10549</cdr:y>
    </cdr:from>
    <cdr:to>
      <cdr:x>0.94872</cdr:x>
      <cdr:y>0.28132</cdr:y>
    </cdr:to>
    <cdr:sp macro="" textlink="">
      <cdr:nvSpPr>
        <cdr:cNvPr id="2" name="Text Box 1"/>
        <cdr:cNvSpPr txBox="1"/>
      </cdr:nvSpPr>
      <cdr:spPr>
        <a:xfrm xmlns:a="http://schemas.openxmlformats.org/drawingml/2006/main">
          <a:off x="4192172" y="337625"/>
          <a:ext cx="1012874" cy="5627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ENDLINE EVALUATION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1574</Words>
  <Pages>9</Pages>
  <Characters>8856</Characters>
  <Application>WPS Office</Application>
  <DocSecurity>0</DocSecurity>
  <Paragraphs>82</Paragraphs>
  <ScaleCrop>false</ScaleCrop>
  <LinksUpToDate>false</LinksUpToDate>
  <CharactersWithSpaces>10407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2021-06-20T15:36:11Z</dcterms:created>
  <dc:creator>acer</dc:creator>
  <lastModifiedBy>RMX2001</lastModifiedBy>
  <dcterms:modified xsi:type="dcterms:W3CDTF">2021-06-20T15:36:11Z</dcterms:modified>
  <revision>1</revision>
</coreProperties>
</file>

<file path=docProps/custom.xml><?xml version="1.0" encoding="utf-8"?>
<Properties xmlns="http://schemas.openxmlformats.org/officeDocument/2006/custom-properties" xmlns:vt="http://schemas.openxmlformats.org/officeDocument/2006/docPropsVTypes"/>
</file>